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CARACTERIAÇÃO DA COMPONENTE CADEIAS CURTAS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bookmarkStart w:id="0" w:name="_GoBack"/>
      <w:bookmarkEnd w:id="0"/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A51" w:rsidRDefault="00F61A51" w:rsidP="00F06FBC">
      <w:pPr>
        <w:spacing w:before="0" w:after="0"/>
      </w:pPr>
      <w:r>
        <w:separator/>
      </w:r>
    </w:p>
  </w:endnote>
  <w:endnote w:type="continuationSeparator" w:id="0">
    <w:p w:rsidR="00F61A51" w:rsidRDefault="00F61A5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7C4807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6625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FE769B">
      <w:rPr>
        <w:rFonts w:ascii="Verdana" w:hAnsi="Verdana"/>
        <w:noProof/>
      </w:rPr>
      <w:t>1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FE769B" w:rsidRPr="00FE769B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A51" w:rsidRDefault="00F61A51" w:rsidP="00F06FBC">
      <w:pPr>
        <w:spacing w:before="0" w:after="0"/>
      </w:pPr>
      <w:r>
        <w:separator/>
      </w:r>
    </w:p>
  </w:footnote>
  <w:footnote w:type="continuationSeparator" w:id="0">
    <w:p w:rsidR="00F61A51" w:rsidRDefault="00F61A5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FE769B" w:rsidP="00F06FB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-772850</wp:posOffset>
          </wp:positionH>
          <wp:positionV relativeFrom="paragraph">
            <wp:posOffset>-310432</wp:posOffset>
          </wp:positionV>
          <wp:extent cx="2088045" cy="668796"/>
          <wp:effectExtent l="19050" t="0" r="7455" b="0"/>
          <wp:wrapNone/>
          <wp:docPr id="4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PinhalMa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130" cy="67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4037330</wp:posOffset>
          </wp:positionH>
          <wp:positionV relativeFrom="paragraph">
            <wp:posOffset>-220980</wp:posOffset>
          </wp:positionV>
          <wp:extent cx="2157095" cy="52641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4807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6626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26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5736E"/>
    <w:rsid w:val="00276D84"/>
    <w:rsid w:val="00297A26"/>
    <w:rsid w:val="004053C0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7C4807"/>
    <w:rsid w:val="008A747A"/>
    <w:rsid w:val="008D64EF"/>
    <w:rsid w:val="009248A2"/>
    <w:rsid w:val="0094092C"/>
    <w:rsid w:val="00991DC6"/>
    <w:rsid w:val="00992656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61A51"/>
    <w:rsid w:val="00F961D9"/>
    <w:rsid w:val="00FE3FC3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5FA4-B1A1-4509-8973-781A463C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Filipe</cp:lastModifiedBy>
  <cp:revision>2</cp:revision>
  <dcterms:created xsi:type="dcterms:W3CDTF">2017-12-06T10:35:00Z</dcterms:created>
  <dcterms:modified xsi:type="dcterms:W3CDTF">2017-12-06T10:35:00Z</dcterms:modified>
</cp:coreProperties>
</file>